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F" w:rsidRPr="00236056" w:rsidRDefault="008C275F" w:rsidP="008C27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8C275F" w:rsidRPr="00236056" w:rsidTr="00FB707C">
        <w:tc>
          <w:tcPr>
            <w:tcW w:w="1882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1259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8C275F" w:rsidRPr="00236056" w:rsidRDefault="008A3349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8C275F" w:rsidRPr="00236056" w:rsidRDefault="008A3349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PBK 3307</w:t>
            </w:r>
          </w:p>
        </w:tc>
        <w:tc>
          <w:tcPr>
            <w:tcW w:w="71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75F" w:rsidRPr="00236056" w:rsidTr="00FB707C">
        <w:tc>
          <w:tcPr>
            <w:tcW w:w="1882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882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5F" w:rsidRPr="00236056" w:rsidRDefault="008C275F" w:rsidP="008A3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8C275F" w:rsidRPr="00236056" w:rsidTr="00FB707C">
        <w:tc>
          <w:tcPr>
            <w:tcW w:w="1637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isu-isu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program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75F" w:rsidRPr="00236056" w:rsidTr="00FB707C">
        <w:tc>
          <w:tcPr>
            <w:tcW w:w="1637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8C275F" w:rsidRPr="00236056" w:rsidRDefault="008C275F" w:rsidP="008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nilai-nilai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isu-isu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program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berperilaku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275F" w:rsidRPr="00236056" w:rsidRDefault="008C275F" w:rsidP="008C2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perkulihan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mengaplikasikan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</w:t>
            </w: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program BK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penyenggaraan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12-15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menyeluruh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Program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12-15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lembanga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menyeluruh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643F36">
        <w:tc>
          <w:tcPr>
            <w:tcW w:w="1278" w:type="dxa"/>
            <w:shd w:val="clear" w:color="auto" w:fill="auto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  <w:shd w:val="clear" w:color="auto" w:fill="auto"/>
          </w:tcPr>
          <w:p w:rsidR="008C275F" w:rsidRPr="00236056" w:rsidRDefault="008A334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menyeluruh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="0064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3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Program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menyeluru</w:t>
            </w:r>
            <w:bookmarkStart w:id="0" w:name="_GoBack"/>
            <w:bookmarkEnd w:id="0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pendidik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  <w:shd w:val="clear" w:color="auto" w:fill="auto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di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program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penyelenggaraan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16-19,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penyelenggara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U-16-19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mengenah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BK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8C275F" w:rsidRPr="00236056" w:rsidRDefault="008C275F" w:rsidP="008C275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8C275F" w:rsidRPr="00236056" w:rsidRDefault="008C275F" w:rsidP="008C275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75F" w:rsidRPr="00236056" w:rsidTr="00FB707C">
        <w:tc>
          <w:tcPr>
            <w:tcW w:w="1278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0" w:type="dxa"/>
          </w:tcPr>
          <w:p w:rsidR="008C275F" w:rsidRPr="00236056" w:rsidRDefault="008C275F" w:rsidP="00FB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C275F" w:rsidRPr="00236056" w:rsidRDefault="008C275F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5F" w:rsidRPr="00236056" w:rsidRDefault="008C275F" w:rsidP="008C2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75F" w:rsidRPr="00236056" w:rsidRDefault="008C275F" w:rsidP="008C27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056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proofErr w:type="spellEnd"/>
      <w:r w:rsidRPr="00236056">
        <w:rPr>
          <w:rFonts w:ascii="Times New Roman" w:hAnsi="Times New Roman" w:cs="Times New Roman"/>
          <w:b/>
          <w:sz w:val="24"/>
          <w:szCs w:val="24"/>
        </w:rPr>
        <w:t>:</w:t>
      </w:r>
    </w:p>
    <w:p w:rsidR="008C275F" w:rsidRPr="00236056" w:rsidRDefault="008C275F" w:rsidP="008C275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Hasyim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Farid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Religius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Jogjakarta: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Ar-Ruzz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 Media, 2010.</w:t>
      </w:r>
    </w:p>
    <w:p w:rsidR="008C275F" w:rsidRPr="00236056" w:rsidRDefault="008C275F" w:rsidP="008C275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Priyatno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Ermananti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236056">
        <w:rPr>
          <w:rFonts w:ascii="Times New Roman" w:eastAsia="Times New Roman" w:hAnsi="Times New Roman" w:cs="Times New Roman"/>
          <w:sz w:val="24"/>
          <w:szCs w:val="24"/>
        </w:rPr>
        <w:t>Jakarta: PT RINEKA CIPTA, 1999.</w:t>
      </w:r>
    </w:p>
    <w:p w:rsidR="008C275F" w:rsidRPr="00236056" w:rsidRDefault="008C275F" w:rsidP="008C275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Walgito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Bimo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Karir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), </w:t>
      </w:r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Yogyakarta: CV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 Offset, 2007.</w:t>
      </w:r>
    </w:p>
    <w:p w:rsidR="008C275F" w:rsidRPr="00236056" w:rsidRDefault="008C275F" w:rsidP="008C275F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Winkel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, W. S. &amp; M. M. Sri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Hastuti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Institusi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36056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236056">
        <w:rPr>
          <w:rFonts w:ascii="Times New Roman" w:eastAsia="Times New Roman" w:hAnsi="Times New Roman" w:cs="Times New Roman"/>
          <w:sz w:val="24"/>
          <w:szCs w:val="24"/>
        </w:rPr>
        <w:t xml:space="preserve">Yogyakarta: Media </w:t>
      </w:r>
      <w:proofErr w:type="spellStart"/>
      <w:r w:rsidRPr="00236056">
        <w:rPr>
          <w:rFonts w:ascii="Times New Roman" w:eastAsia="Times New Roman" w:hAnsi="Times New Roman" w:cs="Times New Roman"/>
          <w:sz w:val="24"/>
          <w:szCs w:val="24"/>
        </w:rPr>
        <w:t>Abadi</w:t>
      </w:r>
      <w:proofErr w:type="spellEnd"/>
      <w:r w:rsidRPr="00236056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8C275F" w:rsidRPr="00236056" w:rsidRDefault="008C275F" w:rsidP="008C2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75F" w:rsidRPr="00236056" w:rsidRDefault="008C275F" w:rsidP="008C2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75F" w:rsidRPr="00236056" w:rsidRDefault="008C275F" w:rsidP="008C275F">
      <w:pPr>
        <w:rPr>
          <w:rFonts w:ascii="Times New Roman" w:hAnsi="Times New Roman" w:cs="Times New Roman"/>
          <w:sz w:val="24"/>
          <w:szCs w:val="24"/>
        </w:rPr>
      </w:pPr>
    </w:p>
    <w:p w:rsidR="00FF22BC" w:rsidRDefault="00FF22BC"/>
    <w:sectPr w:rsidR="00FF22BC" w:rsidSect="00A948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97B"/>
    <w:multiLevelType w:val="hybridMultilevel"/>
    <w:tmpl w:val="FE14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471"/>
    <w:multiLevelType w:val="hybridMultilevel"/>
    <w:tmpl w:val="BEEA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E43"/>
    <w:multiLevelType w:val="hybridMultilevel"/>
    <w:tmpl w:val="6E58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0687"/>
    <w:multiLevelType w:val="hybridMultilevel"/>
    <w:tmpl w:val="78A8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4F99"/>
    <w:multiLevelType w:val="hybridMultilevel"/>
    <w:tmpl w:val="2B2A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2467"/>
    <w:multiLevelType w:val="hybridMultilevel"/>
    <w:tmpl w:val="32BA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7A7"/>
    <w:multiLevelType w:val="hybridMultilevel"/>
    <w:tmpl w:val="501C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4B09"/>
    <w:multiLevelType w:val="hybridMultilevel"/>
    <w:tmpl w:val="E15A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5E98"/>
    <w:multiLevelType w:val="hybridMultilevel"/>
    <w:tmpl w:val="F58C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1F2"/>
    <w:multiLevelType w:val="hybridMultilevel"/>
    <w:tmpl w:val="B6FE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F3123"/>
    <w:multiLevelType w:val="hybridMultilevel"/>
    <w:tmpl w:val="593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9024F"/>
    <w:multiLevelType w:val="hybridMultilevel"/>
    <w:tmpl w:val="859E8980"/>
    <w:lvl w:ilvl="0" w:tplc="ED30F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2579E"/>
    <w:multiLevelType w:val="hybridMultilevel"/>
    <w:tmpl w:val="DB9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9556E"/>
    <w:multiLevelType w:val="hybridMultilevel"/>
    <w:tmpl w:val="07B8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4AE0"/>
    <w:multiLevelType w:val="hybridMultilevel"/>
    <w:tmpl w:val="59FE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F"/>
    <w:rsid w:val="00180D5F"/>
    <w:rsid w:val="00643F36"/>
    <w:rsid w:val="006F4CBC"/>
    <w:rsid w:val="008A3349"/>
    <w:rsid w:val="008C275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C27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C27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8C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2017-08-18T03:52:00Z</cp:lastPrinted>
  <dcterms:created xsi:type="dcterms:W3CDTF">2017-03-14T14:08:00Z</dcterms:created>
  <dcterms:modified xsi:type="dcterms:W3CDTF">2017-08-18T04:12:00Z</dcterms:modified>
</cp:coreProperties>
</file>