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F" w:rsidRPr="00236056" w:rsidRDefault="0068750F" w:rsidP="006875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68750F" w:rsidRPr="00236056" w:rsidTr="00FB707C">
        <w:tc>
          <w:tcPr>
            <w:tcW w:w="1882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</w:t>
            </w:r>
            <w:proofErr w:type="spellEnd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Pemah</w:t>
            </w:r>
            <w:proofErr w:type="spellEnd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</w:t>
            </w:r>
            <w:proofErr w:type="spellEnd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259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68750F" w:rsidRPr="00236056" w:rsidRDefault="0069406B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68750F" w:rsidRPr="00236056" w:rsidRDefault="0069406B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PBK 3501</w:t>
            </w:r>
          </w:p>
        </w:tc>
        <w:tc>
          <w:tcPr>
            <w:tcW w:w="71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68750F" w:rsidRPr="00236056" w:rsidRDefault="0069406B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8750F" w:rsidRPr="00236056" w:rsidTr="00FB707C">
        <w:tc>
          <w:tcPr>
            <w:tcW w:w="1882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882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50F" w:rsidRPr="00236056" w:rsidRDefault="0068750F" w:rsidP="0068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68750F" w:rsidRPr="00236056" w:rsidTr="00FB707C">
        <w:tc>
          <w:tcPr>
            <w:tcW w:w="1637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68750F" w:rsidRPr="00236056" w:rsidRDefault="0068750F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kuliah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membahas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asesmen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meliputi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onsep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hakikat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kedudukan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fungsi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etika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asaesmen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BK.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Selain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itu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membahas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juga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jenis-jenis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pengukuran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pedagogis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psikologis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seperti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pengukuran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inteligensi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bakat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minat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kepribadian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Mata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kuliah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juga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membahas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klasifikasi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menurut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sifatnya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peranan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pengungkapan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alat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penggunaan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pengkomunikasiannya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etik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pengembangan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instrumen.Secara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praksis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dibekali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mengadminit</w:t>
            </w: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rasikan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tersebut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mulai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praktik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menggunakan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mengolah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menafsirkan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hasilnya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mengenalisa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melaporkan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hasilnya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juga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melakukan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praktik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pengembangan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memanfaatkan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asesmen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kepentingan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bimbingann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merancang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layanan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berdasarkan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Calibri" w:hAnsi="Times New Roman" w:cs="Times New Roman"/>
                <w:sz w:val="24"/>
                <w:szCs w:val="24"/>
              </w:rPr>
              <w:t>asesmen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50F" w:rsidRPr="00236056" w:rsidTr="00FB707C">
        <w:tc>
          <w:tcPr>
            <w:tcW w:w="1637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berbagai instrumen tes psikologis pedagogis, meliputi, Tes Intelegensi, Tes Kepribadian, Tes Minat, Tes Bakat dan Tes Kreativitas. Kemudian belajar mengadministrasikan masing-masing instrumen tersebut, mulai praktik menggunakan, mengolah, menafsirkan hasilnya (menganalisis), dan melaporkan hasilnya. Mahasiswa juga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melakukan praktik pengembangan instrumen dalam bimbingan dan konseling, serta memanfaatkan hasil asesmen untuk kepentingan bimbingan dan konseling dengan merancang program layanan BK berdasarkan data hasil asesmen.</w:t>
            </w:r>
          </w:p>
        </w:tc>
      </w:tr>
    </w:tbl>
    <w:p w:rsidR="0068750F" w:rsidRPr="00236056" w:rsidRDefault="0068750F" w:rsidP="0068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mengatahui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penggunakan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Kewenangan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data (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Data (TES)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interprestasi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Interprestasi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inteligensi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Inteligensi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EPPS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&amp; Edwards Personal Preference Schedule (EPPS)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RMIB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Rothwell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Miller Inventory Blank (RMIB)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kretivitas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wartegg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Wartegg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kreapelin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Kreapelin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8750F" w:rsidRPr="00236056" w:rsidRDefault="0068750F" w:rsidP="006875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8750F" w:rsidRPr="00236056" w:rsidRDefault="0068750F" w:rsidP="006875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F" w:rsidRPr="00236056" w:rsidTr="00FB707C">
        <w:tc>
          <w:tcPr>
            <w:tcW w:w="1278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0" w:type="dxa"/>
          </w:tcPr>
          <w:p w:rsidR="0068750F" w:rsidRPr="00236056" w:rsidRDefault="0068750F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750F" w:rsidRPr="00236056" w:rsidRDefault="0068750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50F" w:rsidRPr="00236056" w:rsidRDefault="0068750F" w:rsidP="0068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50F" w:rsidRPr="00236056" w:rsidRDefault="0068750F" w:rsidP="00687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05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236056">
        <w:rPr>
          <w:rFonts w:ascii="Times New Roman" w:hAnsi="Times New Roman" w:cs="Times New Roman"/>
          <w:b/>
          <w:sz w:val="24"/>
          <w:szCs w:val="24"/>
        </w:rPr>
        <w:t>:</w:t>
      </w:r>
    </w:p>
    <w:p w:rsidR="0068750F" w:rsidRPr="00236056" w:rsidRDefault="0068750F" w:rsidP="0068750F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Drummond, R.J. 2006. </w:t>
      </w:r>
      <w:r w:rsidRPr="00236056">
        <w:rPr>
          <w:rFonts w:ascii="Times New Roman" w:eastAsia="Times New Roman" w:hAnsi="Times New Roman" w:cs="Times New Roman"/>
          <w:i/>
          <w:sz w:val="24"/>
          <w:szCs w:val="24"/>
        </w:rPr>
        <w:t>Assessment Procedures for Counselors and Helping Professionals</w:t>
      </w:r>
      <w:r w:rsidRPr="00236056">
        <w:rPr>
          <w:rFonts w:ascii="Times New Roman" w:eastAsia="Times New Roman" w:hAnsi="Times New Roman" w:cs="Times New Roman"/>
          <w:sz w:val="24"/>
          <w:szCs w:val="24"/>
        </w:rPr>
        <w:t>. New Jersey: Pearson Prentice Hall</w:t>
      </w:r>
    </w:p>
    <w:p w:rsidR="0068750F" w:rsidRPr="00236056" w:rsidRDefault="0068750F" w:rsidP="0068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2BC" w:rsidRDefault="00FF22BC"/>
    <w:sectPr w:rsidR="00FF22BC" w:rsidSect="00687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8C"/>
    <w:multiLevelType w:val="hybridMultilevel"/>
    <w:tmpl w:val="7564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5B5"/>
    <w:multiLevelType w:val="hybridMultilevel"/>
    <w:tmpl w:val="FD8E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679F9"/>
    <w:multiLevelType w:val="hybridMultilevel"/>
    <w:tmpl w:val="A7E4780C"/>
    <w:lvl w:ilvl="0" w:tplc="24C2A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4FB0"/>
    <w:multiLevelType w:val="hybridMultilevel"/>
    <w:tmpl w:val="667A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7F4B"/>
    <w:multiLevelType w:val="hybridMultilevel"/>
    <w:tmpl w:val="3DA6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7E"/>
    <w:multiLevelType w:val="hybridMultilevel"/>
    <w:tmpl w:val="DBE2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8E9"/>
    <w:multiLevelType w:val="hybridMultilevel"/>
    <w:tmpl w:val="765C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457BB"/>
    <w:multiLevelType w:val="hybridMultilevel"/>
    <w:tmpl w:val="F3A0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67901"/>
    <w:multiLevelType w:val="hybridMultilevel"/>
    <w:tmpl w:val="A476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D3C27"/>
    <w:multiLevelType w:val="hybridMultilevel"/>
    <w:tmpl w:val="F120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0AEC"/>
    <w:multiLevelType w:val="hybridMultilevel"/>
    <w:tmpl w:val="015E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0F07"/>
    <w:multiLevelType w:val="hybridMultilevel"/>
    <w:tmpl w:val="A5F0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6EBD"/>
    <w:multiLevelType w:val="hybridMultilevel"/>
    <w:tmpl w:val="ACCA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906EC"/>
    <w:multiLevelType w:val="hybridMultilevel"/>
    <w:tmpl w:val="7EC2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774CA"/>
    <w:multiLevelType w:val="hybridMultilevel"/>
    <w:tmpl w:val="3D32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0F"/>
    <w:rsid w:val="001F5F3C"/>
    <w:rsid w:val="0068750F"/>
    <w:rsid w:val="0069406B"/>
    <w:rsid w:val="006F4CB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8750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8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8750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8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2017-08-18T07:53:00Z</cp:lastPrinted>
  <dcterms:created xsi:type="dcterms:W3CDTF">2017-03-14T14:03:00Z</dcterms:created>
  <dcterms:modified xsi:type="dcterms:W3CDTF">2017-08-18T07:56:00Z</dcterms:modified>
</cp:coreProperties>
</file>